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F31" w:rsidRDefault="00ED3F31" w:rsidP="0086357B">
      <w:pPr>
        <w:spacing w:after="0" w:line="480" w:lineRule="auto"/>
        <w:jc w:val="center"/>
        <w:rPr>
          <w:rFonts w:ascii="Times New Roman" w:hAnsi="Times New Roman" w:cs="Times New Roman"/>
          <w:sz w:val="24"/>
        </w:rPr>
      </w:pPr>
    </w:p>
    <w:p w:rsidR="00ED3F31" w:rsidRDefault="00ED3F31" w:rsidP="0086357B">
      <w:pPr>
        <w:spacing w:after="0" w:line="480" w:lineRule="auto"/>
        <w:jc w:val="center"/>
        <w:rPr>
          <w:rFonts w:ascii="Times New Roman" w:hAnsi="Times New Roman" w:cs="Times New Roman"/>
          <w:sz w:val="24"/>
        </w:rPr>
      </w:pPr>
    </w:p>
    <w:p w:rsidR="00ED3F31" w:rsidRDefault="00ED3F31" w:rsidP="0086357B">
      <w:pPr>
        <w:spacing w:after="0" w:line="480" w:lineRule="auto"/>
        <w:jc w:val="center"/>
        <w:rPr>
          <w:rFonts w:ascii="Times New Roman" w:hAnsi="Times New Roman" w:cs="Times New Roman"/>
          <w:sz w:val="24"/>
        </w:rPr>
      </w:pPr>
    </w:p>
    <w:p w:rsidR="00ED3F31" w:rsidRDefault="00ED3F31" w:rsidP="0086357B">
      <w:pPr>
        <w:spacing w:after="0" w:line="480" w:lineRule="auto"/>
        <w:jc w:val="center"/>
        <w:rPr>
          <w:rFonts w:ascii="Times New Roman" w:hAnsi="Times New Roman" w:cs="Times New Roman"/>
          <w:sz w:val="24"/>
        </w:rPr>
      </w:pPr>
    </w:p>
    <w:p w:rsidR="00ED3F31" w:rsidRDefault="00ED3F31" w:rsidP="0086357B">
      <w:pPr>
        <w:spacing w:after="0" w:line="480" w:lineRule="auto"/>
        <w:jc w:val="center"/>
        <w:rPr>
          <w:rFonts w:ascii="Times New Roman" w:hAnsi="Times New Roman" w:cs="Times New Roman"/>
          <w:sz w:val="24"/>
        </w:rPr>
      </w:pPr>
    </w:p>
    <w:p w:rsidR="00ED3F31" w:rsidRDefault="00ED3F31" w:rsidP="0086357B">
      <w:pPr>
        <w:spacing w:after="0" w:line="480" w:lineRule="auto"/>
        <w:jc w:val="center"/>
        <w:rPr>
          <w:rFonts w:ascii="Times New Roman" w:hAnsi="Times New Roman" w:cs="Times New Roman"/>
          <w:sz w:val="24"/>
        </w:rPr>
      </w:pPr>
    </w:p>
    <w:p w:rsidR="0072614F" w:rsidRPr="00ED3F31" w:rsidRDefault="001D7206" w:rsidP="0086357B">
      <w:pPr>
        <w:spacing w:after="0" w:line="480" w:lineRule="auto"/>
        <w:jc w:val="center"/>
        <w:rPr>
          <w:rFonts w:ascii="Times New Roman" w:hAnsi="Times New Roman" w:cs="Times New Roman"/>
          <w:sz w:val="24"/>
        </w:rPr>
      </w:pPr>
      <w:r w:rsidRPr="00ED3F31">
        <w:rPr>
          <w:rFonts w:ascii="Times New Roman" w:hAnsi="Times New Roman" w:cs="Times New Roman"/>
          <w:sz w:val="24"/>
        </w:rPr>
        <w:t>TSB BANK CASE STUDY</w:t>
      </w:r>
    </w:p>
    <w:p w:rsidR="00C61B4E" w:rsidRPr="00ED3F31" w:rsidRDefault="00C61B4E" w:rsidP="0086357B">
      <w:pPr>
        <w:spacing w:after="0" w:line="480" w:lineRule="auto"/>
        <w:jc w:val="center"/>
        <w:rPr>
          <w:rFonts w:ascii="Times New Roman" w:hAnsi="Times New Roman" w:cs="Times New Roman"/>
          <w:sz w:val="24"/>
        </w:rPr>
      </w:pPr>
      <w:r w:rsidRPr="00ED3F31">
        <w:rPr>
          <w:rFonts w:ascii="Times New Roman" w:hAnsi="Times New Roman" w:cs="Times New Roman"/>
          <w:sz w:val="24"/>
        </w:rPr>
        <w:t>Name</w:t>
      </w:r>
    </w:p>
    <w:p w:rsidR="00C61B4E" w:rsidRPr="00ED3F31" w:rsidRDefault="00C61B4E" w:rsidP="0086357B">
      <w:pPr>
        <w:spacing w:after="0" w:line="480" w:lineRule="auto"/>
        <w:jc w:val="center"/>
        <w:rPr>
          <w:rFonts w:ascii="Times New Roman" w:hAnsi="Times New Roman" w:cs="Times New Roman"/>
          <w:sz w:val="24"/>
        </w:rPr>
      </w:pPr>
      <w:r w:rsidRPr="00ED3F31">
        <w:rPr>
          <w:rFonts w:ascii="Times New Roman" w:hAnsi="Times New Roman" w:cs="Times New Roman"/>
          <w:sz w:val="24"/>
        </w:rPr>
        <w:t>Institution</w:t>
      </w:r>
    </w:p>
    <w:p w:rsidR="00ED3F31" w:rsidRDefault="00ED3F31" w:rsidP="0086357B">
      <w:pPr>
        <w:spacing w:after="0"/>
        <w:rPr>
          <w:rFonts w:ascii="Times New Roman" w:hAnsi="Times New Roman" w:cs="Times New Roman"/>
          <w:sz w:val="24"/>
        </w:rPr>
      </w:pPr>
      <w:r>
        <w:rPr>
          <w:rFonts w:ascii="Times New Roman" w:hAnsi="Times New Roman" w:cs="Times New Roman"/>
          <w:sz w:val="24"/>
        </w:rPr>
        <w:br w:type="page"/>
      </w:r>
    </w:p>
    <w:p w:rsidR="001D7206" w:rsidRPr="00ED3F31" w:rsidRDefault="001D7206" w:rsidP="0086357B">
      <w:pPr>
        <w:spacing w:after="0" w:line="480" w:lineRule="auto"/>
        <w:jc w:val="center"/>
        <w:rPr>
          <w:rFonts w:ascii="Times New Roman" w:hAnsi="Times New Roman" w:cs="Times New Roman"/>
          <w:sz w:val="24"/>
        </w:rPr>
      </w:pPr>
      <w:r w:rsidRPr="00ED3F31">
        <w:rPr>
          <w:rFonts w:ascii="Times New Roman" w:hAnsi="Times New Roman" w:cs="Times New Roman"/>
          <w:sz w:val="24"/>
        </w:rPr>
        <w:lastRenderedPageBreak/>
        <w:t>Introduction.</w:t>
      </w:r>
    </w:p>
    <w:p w:rsidR="00676D26" w:rsidRPr="00ED3F31" w:rsidRDefault="00676D26" w:rsidP="0086357B">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Data or record migrations is a frequ</w:t>
      </w:r>
      <w:r w:rsidR="0086357B">
        <w:rPr>
          <w:rFonts w:ascii="Times New Roman" w:hAnsi="Times New Roman" w:cs="Times New Roman"/>
          <w:sz w:val="24"/>
        </w:rPr>
        <w:t xml:space="preserve">ent routine in today’s businesses. Organization does this </w:t>
      </w:r>
      <w:r w:rsidRPr="00ED3F31">
        <w:rPr>
          <w:rFonts w:ascii="Times New Roman" w:hAnsi="Times New Roman" w:cs="Times New Roman"/>
          <w:sz w:val="24"/>
        </w:rPr>
        <w:t>to either trigger a process o</w:t>
      </w:r>
      <w:r w:rsidR="0086357B">
        <w:rPr>
          <w:rFonts w:ascii="Times New Roman" w:hAnsi="Times New Roman" w:cs="Times New Roman"/>
          <w:sz w:val="24"/>
        </w:rPr>
        <w:t xml:space="preserve">f change within the company or </w:t>
      </w:r>
      <w:r w:rsidRPr="00ED3F31">
        <w:rPr>
          <w:rFonts w:ascii="Times New Roman" w:hAnsi="Times New Roman" w:cs="Times New Roman"/>
          <w:sz w:val="24"/>
        </w:rPr>
        <w:t>improve the performance, scalability and efficiency of the application of the current software</w:t>
      </w:r>
      <w:r w:rsidR="0086357B">
        <w:rPr>
          <w:rFonts w:ascii="Times New Roman" w:hAnsi="Times New Roman" w:cs="Times New Roman"/>
          <w:sz w:val="24"/>
        </w:rPr>
        <w:t>. Also, it may undergo such process in pursuit of adaptation to</w:t>
      </w:r>
      <w:r w:rsidRPr="00ED3F31">
        <w:rPr>
          <w:rFonts w:ascii="Times New Roman" w:hAnsi="Times New Roman" w:cs="Times New Roman"/>
          <w:sz w:val="24"/>
        </w:rPr>
        <w:t xml:space="preserve"> new technolo</w:t>
      </w:r>
      <w:r w:rsidR="0086357B">
        <w:rPr>
          <w:rFonts w:ascii="Times New Roman" w:hAnsi="Times New Roman" w:cs="Times New Roman"/>
          <w:sz w:val="24"/>
        </w:rPr>
        <w:t>gical methods in order to enhance</w:t>
      </w:r>
      <w:r w:rsidRPr="00ED3F31">
        <w:rPr>
          <w:rFonts w:ascii="Times New Roman" w:hAnsi="Times New Roman" w:cs="Times New Roman"/>
          <w:sz w:val="24"/>
        </w:rPr>
        <w:t xml:space="preserve"> the customer services as well as </w:t>
      </w:r>
      <w:r w:rsidR="0086357B">
        <w:rPr>
          <w:rFonts w:ascii="Times New Roman" w:hAnsi="Times New Roman" w:cs="Times New Roman"/>
          <w:sz w:val="24"/>
        </w:rPr>
        <w:t xml:space="preserve">to </w:t>
      </w:r>
      <w:r w:rsidRPr="00ED3F31">
        <w:rPr>
          <w:rFonts w:ascii="Times New Roman" w:hAnsi="Times New Roman" w:cs="Times New Roman"/>
          <w:sz w:val="24"/>
        </w:rPr>
        <w:t>lower the operational cost</w:t>
      </w:r>
      <w:r w:rsidR="0086357B">
        <w:rPr>
          <w:rFonts w:ascii="Times New Roman" w:hAnsi="Times New Roman" w:cs="Times New Roman"/>
          <w:sz w:val="24"/>
        </w:rPr>
        <w:t>. Besides, data migration may</w:t>
      </w:r>
      <w:r w:rsidRPr="00ED3F31">
        <w:rPr>
          <w:rFonts w:ascii="Times New Roman" w:hAnsi="Times New Roman" w:cs="Times New Roman"/>
          <w:sz w:val="24"/>
        </w:rPr>
        <w:t xml:space="preserve"> streamline any existing bottlenecks within their system. This research paper will discuss the possible </w:t>
      </w:r>
      <w:r w:rsidR="00ED3F31" w:rsidRPr="00ED3F31">
        <w:rPr>
          <w:rFonts w:ascii="Times New Roman" w:hAnsi="Times New Roman" w:cs="Times New Roman"/>
          <w:sz w:val="24"/>
        </w:rPr>
        <w:t>alternatives</w:t>
      </w:r>
      <w:r w:rsidRPr="00ED3F31">
        <w:rPr>
          <w:rFonts w:ascii="Times New Roman" w:hAnsi="Times New Roman" w:cs="Times New Roman"/>
          <w:sz w:val="24"/>
        </w:rPr>
        <w:t xml:space="preserve"> and the plan of action in relation to the TSB Bank case study.</w:t>
      </w:r>
    </w:p>
    <w:p w:rsidR="001D7206" w:rsidRPr="00F63DF3" w:rsidRDefault="00CC741D" w:rsidP="00F63DF3">
      <w:pPr>
        <w:spacing w:after="0" w:line="480" w:lineRule="auto"/>
        <w:jc w:val="center"/>
        <w:rPr>
          <w:rFonts w:ascii="Times New Roman" w:hAnsi="Times New Roman" w:cs="Times New Roman"/>
          <w:b/>
          <w:sz w:val="24"/>
        </w:rPr>
      </w:pPr>
      <w:r w:rsidRPr="00F63DF3">
        <w:rPr>
          <w:rFonts w:ascii="Times New Roman" w:hAnsi="Times New Roman" w:cs="Times New Roman"/>
          <w:b/>
          <w:sz w:val="24"/>
        </w:rPr>
        <w:t>Statement of the problem</w:t>
      </w:r>
      <w:r w:rsidR="00E853B4" w:rsidRPr="00F63DF3">
        <w:rPr>
          <w:rFonts w:ascii="Times New Roman" w:hAnsi="Times New Roman" w:cs="Times New Roman"/>
          <w:b/>
          <w:sz w:val="24"/>
        </w:rPr>
        <w:t xml:space="preserve"> and the related causes</w:t>
      </w:r>
    </w:p>
    <w:p w:rsidR="00ED3F31" w:rsidRDefault="001E7FB1" w:rsidP="00F63DF3">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The decision of the TSB Bank management to migrate the customer records from one platform to another gave rise to the challenge it is facing. In April 2018, the bank migrate the customer records from the L</w:t>
      </w:r>
      <w:r w:rsidR="009C68E5" w:rsidRPr="00ED3F31">
        <w:rPr>
          <w:rFonts w:ascii="Times New Roman" w:hAnsi="Times New Roman" w:cs="Times New Roman"/>
          <w:sz w:val="24"/>
        </w:rPr>
        <w:t>l</w:t>
      </w:r>
      <w:r w:rsidRPr="00ED3F31">
        <w:rPr>
          <w:rFonts w:ascii="Times New Roman" w:hAnsi="Times New Roman" w:cs="Times New Roman"/>
          <w:sz w:val="24"/>
        </w:rPr>
        <w:t>oyds Banking group to a newer platform referred to as Sabadell Proteo Platform. This led to loss</w:t>
      </w:r>
      <w:r w:rsidR="009C68E5" w:rsidRPr="00ED3F31">
        <w:rPr>
          <w:rFonts w:ascii="Times New Roman" w:hAnsi="Times New Roman" w:cs="Times New Roman"/>
          <w:sz w:val="24"/>
        </w:rPr>
        <w:t xml:space="preserve"> of customer’s utility such as mortgages, living savings among others.</w:t>
      </w:r>
      <w:r w:rsidR="00E853B4" w:rsidRPr="00ED3F31">
        <w:rPr>
          <w:rFonts w:ascii="Times New Roman" w:hAnsi="Times New Roman" w:cs="Times New Roman"/>
          <w:sz w:val="24"/>
        </w:rPr>
        <w:t xml:space="preserve"> The root cause of failure include; the failure of the TSB Bank management to assess the compatibility of the program, TSB Bank did not conduct risk assessment to determine the effects of such migration as well as efforts by the Lloyds banking group to mitigate the issues were deemed futile. </w:t>
      </w:r>
      <w:r w:rsidR="00AA3BA3" w:rsidRPr="00ED3F31">
        <w:rPr>
          <w:rFonts w:ascii="Times New Roman" w:hAnsi="Times New Roman" w:cs="Times New Roman"/>
          <w:sz w:val="24"/>
        </w:rPr>
        <w:t>Another root cause was failure of the Bank officials to give consent to the Lloyds Banking Group to implement their data recovery technological method which would have alleviated the loss of records or data of their clients.</w:t>
      </w:r>
      <w:r w:rsidR="00F63DF3">
        <w:rPr>
          <w:rFonts w:ascii="Times New Roman" w:hAnsi="Times New Roman" w:cs="Times New Roman"/>
          <w:sz w:val="24"/>
        </w:rPr>
        <w:t xml:space="preserve"> </w:t>
      </w:r>
    </w:p>
    <w:p w:rsidR="00CC741D" w:rsidRPr="00F63DF3" w:rsidRDefault="00CC741D" w:rsidP="00F63DF3">
      <w:pPr>
        <w:spacing w:after="0" w:line="480" w:lineRule="auto"/>
        <w:jc w:val="center"/>
        <w:rPr>
          <w:rFonts w:ascii="Times New Roman" w:hAnsi="Times New Roman" w:cs="Times New Roman"/>
          <w:b/>
          <w:sz w:val="24"/>
        </w:rPr>
      </w:pPr>
      <w:r w:rsidRPr="00F63DF3">
        <w:rPr>
          <w:rFonts w:ascii="Times New Roman" w:hAnsi="Times New Roman" w:cs="Times New Roman"/>
          <w:b/>
          <w:sz w:val="24"/>
        </w:rPr>
        <w:t>Possible alternatives</w:t>
      </w:r>
    </w:p>
    <w:p w:rsidR="003B12CD" w:rsidRPr="00F63DF3" w:rsidRDefault="003B12CD" w:rsidP="0086357B">
      <w:pPr>
        <w:spacing w:after="0" w:line="480" w:lineRule="auto"/>
        <w:jc w:val="both"/>
        <w:rPr>
          <w:rFonts w:ascii="Times New Roman" w:hAnsi="Times New Roman" w:cs="Times New Roman"/>
          <w:b/>
          <w:sz w:val="24"/>
        </w:rPr>
      </w:pPr>
      <w:r w:rsidRPr="00F63DF3">
        <w:rPr>
          <w:rFonts w:ascii="Times New Roman" w:hAnsi="Times New Roman" w:cs="Times New Roman"/>
          <w:b/>
          <w:sz w:val="24"/>
        </w:rPr>
        <w:t>Risk Assessment</w:t>
      </w:r>
    </w:p>
    <w:p w:rsidR="00FB29CB" w:rsidRPr="00ED3F31" w:rsidRDefault="00FB29CB" w:rsidP="0086357B">
      <w:pPr>
        <w:spacing w:after="0" w:line="480" w:lineRule="auto"/>
        <w:jc w:val="both"/>
        <w:rPr>
          <w:rFonts w:ascii="Times New Roman" w:hAnsi="Times New Roman" w:cs="Times New Roman"/>
          <w:sz w:val="24"/>
        </w:rPr>
      </w:pPr>
      <w:r w:rsidRPr="00ED3F31">
        <w:rPr>
          <w:rFonts w:ascii="Times New Roman" w:hAnsi="Times New Roman" w:cs="Times New Roman"/>
          <w:sz w:val="24"/>
        </w:rPr>
        <w:t>Understanding integration</w:t>
      </w:r>
      <w:r w:rsidR="00676D26" w:rsidRPr="00ED3F31">
        <w:rPr>
          <w:rFonts w:ascii="Times New Roman" w:hAnsi="Times New Roman" w:cs="Times New Roman"/>
          <w:sz w:val="24"/>
        </w:rPr>
        <w:t>. It is important for the TSB Bank personnel to fully understand the dynamics of integration</w:t>
      </w:r>
      <w:r w:rsidR="003B12CD" w:rsidRPr="00ED3F31">
        <w:rPr>
          <w:rFonts w:ascii="Times New Roman" w:hAnsi="Times New Roman" w:cs="Times New Roman"/>
          <w:sz w:val="24"/>
        </w:rPr>
        <w:t xml:space="preserve">, the operational costs, any eventualities as well as preparation for the worst outcome which is data loss. The management should perform mock runs prior to the actual </w:t>
      </w:r>
      <w:r w:rsidR="00F24DE9" w:rsidRPr="00ED3F31">
        <w:rPr>
          <w:rFonts w:ascii="Times New Roman" w:hAnsi="Times New Roman" w:cs="Times New Roman"/>
          <w:sz w:val="24"/>
        </w:rPr>
        <w:t>exercise thus ensuring high levels of success as well as insulation of possible risks</w:t>
      </w:r>
      <w:sdt>
        <w:sdtPr>
          <w:rPr>
            <w:rFonts w:ascii="Times New Roman" w:hAnsi="Times New Roman" w:cs="Times New Roman"/>
            <w:sz w:val="24"/>
          </w:rPr>
          <w:id w:val="1574086385"/>
          <w:citation/>
        </w:sdtPr>
        <w:sdtEndPr/>
        <w:sdtContent>
          <w:r w:rsidR="00ED3F31" w:rsidRPr="00ED3F31">
            <w:rPr>
              <w:rFonts w:ascii="Times New Roman" w:hAnsi="Times New Roman" w:cs="Times New Roman"/>
              <w:sz w:val="24"/>
            </w:rPr>
            <w:fldChar w:fldCharType="begin"/>
          </w:r>
          <w:r w:rsidR="00ED3F31" w:rsidRPr="00ED3F31">
            <w:rPr>
              <w:rFonts w:ascii="Times New Roman" w:hAnsi="Times New Roman" w:cs="Times New Roman"/>
              <w:sz w:val="24"/>
            </w:rPr>
            <w:instrText xml:space="preserve"> CITATION APa16 \l 1033 </w:instrText>
          </w:r>
          <w:r w:rsidR="00ED3F31" w:rsidRPr="00ED3F31">
            <w:rPr>
              <w:rFonts w:ascii="Times New Roman" w:hAnsi="Times New Roman" w:cs="Times New Roman"/>
              <w:sz w:val="24"/>
            </w:rPr>
            <w:fldChar w:fldCharType="separate"/>
          </w:r>
          <w:r w:rsidR="00ED3F31" w:rsidRPr="00ED3F31">
            <w:rPr>
              <w:rFonts w:ascii="Times New Roman" w:hAnsi="Times New Roman" w:cs="Times New Roman"/>
              <w:sz w:val="24"/>
            </w:rPr>
            <w:t xml:space="preserve"> (A Path to Efficient Data Migration, 2016)</w:t>
          </w:r>
          <w:r w:rsidR="00ED3F31" w:rsidRPr="00ED3F31">
            <w:rPr>
              <w:rFonts w:ascii="Times New Roman" w:hAnsi="Times New Roman" w:cs="Times New Roman"/>
              <w:sz w:val="24"/>
            </w:rPr>
            <w:fldChar w:fldCharType="end"/>
          </w:r>
        </w:sdtContent>
      </w:sdt>
      <w:r w:rsidR="00F24DE9" w:rsidRPr="00ED3F31">
        <w:rPr>
          <w:rFonts w:ascii="Times New Roman" w:hAnsi="Times New Roman" w:cs="Times New Roman"/>
          <w:sz w:val="24"/>
        </w:rPr>
        <w:t xml:space="preserve">. This alternative also involves planning for any contingencies and the costs overruns since the process of migration of data is complex in nature. It is essential that the bank management should have assessed on the risk that involved with the migration of the data. Data migration is exciting as well as moving to another platform resulting in better operations, efficiency </w:t>
      </w:r>
      <w:r w:rsidR="00801834" w:rsidRPr="00ED3F31">
        <w:rPr>
          <w:rFonts w:ascii="Times New Roman" w:hAnsi="Times New Roman" w:cs="Times New Roman"/>
          <w:sz w:val="24"/>
        </w:rPr>
        <w:t xml:space="preserve">and minimal </w:t>
      </w:r>
      <w:r w:rsidR="00F24DE9" w:rsidRPr="00ED3F31">
        <w:rPr>
          <w:rFonts w:ascii="Times New Roman" w:hAnsi="Times New Roman" w:cs="Times New Roman"/>
          <w:sz w:val="24"/>
        </w:rPr>
        <w:t>loopholes within the system.</w:t>
      </w:r>
    </w:p>
    <w:p w:rsidR="00C72CD2" w:rsidRPr="00ED3F31" w:rsidRDefault="00C72CD2" w:rsidP="00F63DF3">
      <w:pPr>
        <w:spacing w:after="0" w:line="480" w:lineRule="auto"/>
        <w:ind w:left="1440" w:firstLine="720"/>
        <w:jc w:val="both"/>
        <w:rPr>
          <w:rFonts w:ascii="Times New Roman" w:hAnsi="Times New Roman" w:cs="Times New Roman"/>
          <w:sz w:val="24"/>
        </w:rPr>
      </w:pPr>
      <w:r w:rsidRPr="00ED3F31">
        <w:rPr>
          <w:rFonts w:ascii="Times New Roman" w:hAnsi="Times New Roman" w:cs="Times New Roman"/>
          <w:sz w:val="24"/>
        </w:rPr>
        <w:t>Pros</w:t>
      </w:r>
    </w:p>
    <w:p w:rsidR="00C72CD2" w:rsidRPr="00ED3F31" w:rsidRDefault="00DA6E59" w:rsidP="0086357B">
      <w:pPr>
        <w:pStyle w:val="ListParagraph"/>
        <w:numPr>
          <w:ilvl w:val="0"/>
          <w:numId w:val="6"/>
        </w:numPr>
        <w:spacing w:after="0" w:line="480" w:lineRule="auto"/>
        <w:jc w:val="both"/>
        <w:rPr>
          <w:rFonts w:ascii="Times New Roman" w:hAnsi="Times New Roman" w:cs="Times New Roman"/>
          <w:sz w:val="24"/>
        </w:rPr>
      </w:pPr>
      <w:r w:rsidRPr="00ED3F31">
        <w:rPr>
          <w:rFonts w:ascii="Times New Roman" w:hAnsi="Times New Roman" w:cs="Times New Roman"/>
          <w:sz w:val="24"/>
        </w:rPr>
        <w:t>It reduces costs and complexity of the data</w:t>
      </w:r>
    </w:p>
    <w:p w:rsidR="00DA6E59" w:rsidRPr="00ED3F31" w:rsidRDefault="00DA6E59" w:rsidP="0086357B">
      <w:pPr>
        <w:pStyle w:val="ListParagraph"/>
        <w:numPr>
          <w:ilvl w:val="0"/>
          <w:numId w:val="6"/>
        </w:numPr>
        <w:spacing w:after="0" w:line="480" w:lineRule="auto"/>
        <w:jc w:val="both"/>
        <w:rPr>
          <w:rFonts w:ascii="Times New Roman" w:hAnsi="Times New Roman" w:cs="Times New Roman"/>
          <w:sz w:val="24"/>
        </w:rPr>
      </w:pPr>
      <w:r w:rsidRPr="00ED3F31">
        <w:rPr>
          <w:rFonts w:ascii="Times New Roman" w:hAnsi="Times New Roman" w:cs="Times New Roman"/>
          <w:sz w:val="24"/>
        </w:rPr>
        <w:t>It ensure that data is well safeguarded from breach or corruption</w:t>
      </w:r>
    </w:p>
    <w:p w:rsidR="00C72CD2" w:rsidRPr="00ED3F31" w:rsidRDefault="00C72CD2" w:rsidP="00F63DF3">
      <w:pPr>
        <w:spacing w:after="0" w:line="480" w:lineRule="auto"/>
        <w:ind w:left="2160"/>
        <w:jc w:val="both"/>
        <w:rPr>
          <w:rFonts w:ascii="Times New Roman" w:hAnsi="Times New Roman" w:cs="Times New Roman"/>
          <w:sz w:val="24"/>
        </w:rPr>
      </w:pPr>
      <w:r w:rsidRPr="00ED3F31">
        <w:rPr>
          <w:rFonts w:ascii="Times New Roman" w:hAnsi="Times New Roman" w:cs="Times New Roman"/>
          <w:sz w:val="24"/>
        </w:rPr>
        <w:t>Cons</w:t>
      </w:r>
    </w:p>
    <w:p w:rsidR="00DA6E59" w:rsidRPr="00ED3F31" w:rsidRDefault="00DA6E59" w:rsidP="0086357B">
      <w:pPr>
        <w:pStyle w:val="ListParagraph"/>
        <w:numPr>
          <w:ilvl w:val="0"/>
          <w:numId w:val="7"/>
        </w:numPr>
        <w:spacing w:after="0" w:line="480" w:lineRule="auto"/>
        <w:jc w:val="both"/>
        <w:rPr>
          <w:rFonts w:ascii="Times New Roman" w:hAnsi="Times New Roman" w:cs="Times New Roman"/>
          <w:sz w:val="24"/>
        </w:rPr>
      </w:pPr>
      <w:r w:rsidRPr="00ED3F31">
        <w:rPr>
          <w:rFonts w:ascii="Times New Roman" w:hAnsi="Times New Roman" w:cs="Times New Roman"/>
          <w:sz w:val="24"/>
        </w:rPr>
        <w:t>This is an indirect costs to the migration of data</w:t>
      </w:r>
    </w:p>
    <w:p w:rsidR="00FB29CB" w:rsidRPr="00F63DF3" w:rsidRDefault="00676D26" w:rsidP="0086357B">
      <w:pPr>
        <w:spacing w:after="0" w:line="480" w:lineRule="auto"/>
        <w:jc w:val="both"/>
        <w:rPr>
          <w:rFonts w:ascii="Times New Roman" w:hAnsi="Times New Roman" w:cs="Times New Roman"/>
          <w:b/>
          <w:sz w:val="24"/>
        </w:rPr>
      </w:pPr>
      <w:r w:rsidRPr="00F63DF3">
        <w:rPr>
          <w:rFonts w:ascii="Times New Roman" w:hAnsi="Times New Roman" w:cs="Times New Roman"/>
          <w:b/>
          <w:sz w:val="24"/>
        </w:rPr>
        <w:t>Reconciliation</w:t>
      </w:r>
    </w:p>
    <w:p w:rsidR="00F24DE9" w:rsidRPr="00ED3F31" w:rsidRDefault="00F24DE9" w:rsidP="00F63DF3">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 xml:space="preserve">Data loss refers </w:t>
      </w:r>
      <w:r w:rsidR="00586B78" w:rsidRPr="00ED3F31">
        <w:rPr>
          <w:rFonts w:ascii="Times New Roman" w:hAnsi="Times New Roman" w:cs="Times New Roman"/>
          <w:sz w:val="24"/>
        </w:rPr>
        <w:t>to availability</w:t>
      </w:r>
      <w:r w:rsidRPr="00ED3F31">
        <w:rPr>
          <w:rFonts w:ascii="Times New Roman" w:hAnsi="Times New Roman" w:cs="Times New Roman"/>
          <w:sz w:val="24"/>
        </w:rPr>
        <w:t xml:space="preserve"> </w:t>
      </w:r>
      <w:r w:rsidR="00586B78" w:rsidRPr="00ED3F31">
        <w:rPr>
          <w:rFonts w:ascii="Times New Roman" w:hAnsi="Times New Roman" w:cs="Times New Roman"/>
          <w:sz w:val="24"/>
        </w:rPr>
        <w:t>of data</w:t>
      </w:r>
      <w:r w:rsidR="00801834" w:rsidRPr="00ED3F31">
        <w:rPr>
          <w:rFonts w:ascii="Times New Roman" w:hAnsi="Times New Roman" w:cs="Times New Roman"/>
          <w:sz w:val="24"/>
        </w:rPr>
        <w:t xml:space="preserve"> in </w:t>
      </w:r>
      <w:r w:rsidRPr="00ED3F31">
        <w:rPr>
          <w:rFonts w:ascii="Times New Roman" w:hAnsi="Times New Roman" w:cs="Times New Roman"/>
          <w:sz w:val="24"/>
        </w:rPr>
        <w:t>the legacy</w:t>
      </w:r>
      <w:r w:rsidR="00801834" w:rsidRPr="00ED3F31">
        <w:rPr>
          <w:rFonts w:ascii="Times New Roman" w:hAnsi="Times New Roman" w:cs="Times New Roman"/>
          <w:sz w:val="24"/>
        </w:rPr>
        <w:t xml:space="preserve"> </w:t>
      </w:r>
      <w:r w:rsidR="00586B78" w:rsidRPr="00ED3F31">
        <w:rPr>
          <w:rFonts w:ascii="Times New Roman" w:hAnsi="Times New Roman" w:cs="Times New Roman"/>
          <w:sz w:val="24"/>
        </w:rPr>
        <w:t>system and</w:t>
      </w:r>
      <w:r w:rsidR="00801834" w:rsidRPr="00ED3F31">
        <w:rPr>
          <w:rFonts w:ascii="Times New Roman" w:hAnsi="Times New Roman" w:cs="Times New Roman"/>
          <w:sz w:val="24"/>
        </w:rPr>
        <w:t xml:space="preserve"> its absence in the target system after migration. This is one of the </w:t>
      </w:r>
      <w:r w:rsidR="00586B78" w:rsidRPr="00ED3F31">
        <w:rPr>
          <w:rFonts w:ascii="Times New Roman" w:hAnsi="Times New Roman" w:cs="Times New Roman"/>
          <w:sz w:val="24"/>
        </w:rPr>
        <w:t>highest</w:t>
      </w:r>
      <w:r w:rsidR="00801834" w:rsidRPr="00ED3F31">
        <w:rPr>
          <w:rFonts w:ascii="Times New Roman" w:hAnsi="Times New Roman" w:cs="Times New Roman"/>
          <w:sz w:val="24"/>
        </w:rPr>
        <w:t xml:space="preserve"> risk in migration of data. Solution to loss of data can be rectified through count reconciliation</w:t>
      </w:r>
      <w:r w:rsidR="00586B78" w:rsidRPr="00ED3F31">
        <w:rPr>
          <w:rFonts w:ascii="Times New Roman" w:hAnsi="Times New Roman" w:cs="Times New Roman"/>
          <w:sz w:val="24"/>
        </w:rPr>
        <w:t xml:space="preserve">. Count reconciliation involves comparison of the data records in both the target </w:t>
      </w:r>
      <w:r w:rsidR="00B53BCA" w:rsidRPr="00ED3F31">
        <w:rPr>
          <w:rFonts w:ascii="Times New Roman" w:hAnsi="Times New Roman" w:cs="Times New Roman"/>
          <w:sz w:val="24"/>
        </w:rPr>
        <w:t>system</w:t>
      </w:r>
      <w:r w:rsidR="00586B78" w:rsidRPr="00ED3F31">
        <w:rPr>
          <w:rFonts w:ascii="Times New Roman" w:hAnsi="Times New Roman" w:cs="Times New Roman"/>
          <w:sz w:val="24"/>
        </w:rPr>
        <w:t xml:space="preserve"> and the legacy system which will provide an assessment on the loss of data during the migration.</w:t>
      </w:r>
      <w:r w:rsidR="00B53BCA" w:rsidRPr="00ED3F31">
        <w:rPr>
          <w:rFonts w:ascii="Times New Roman" w:hAnsi="Times New Roman" w:cs="Times New Roman"/>
          <w:sz w:val="24"/>
        </w:rPr>
        <w:t xml:space="preserve"> Sometimes the record count in the legacy system may not match the count in the target system since there may be company rules which rejects some of the records on basis of particular aspects. If such protocols were implemented, then the records count in the legacy system should be similar to the cumulative count of the rejected records and the actual records in the target system.</w:t>
      </w:r>
    </w:p>
    <w:p w:rsidR="00C777DF" w:rsidRPr="00F63DF3" w:rsidRDefault="00C777DF" w:rsidP="00F63DF3">
      <w:pPr>
        <w:spacing w:after="0" w:line="480" w:lineRule="auto"/>
        <w:jc w:val="center"/>
        <w:rPr>
          <w:rFonts w:ascii="Times New Roman" w:hAnsi="Times New Roman" w:cs="Times New Roman"/>
          <w:b/>
          <w:sz w:val="24"/>
        </w:rPr>
      </w:pPr>
      <w:r w:rsidRPr="00F63DF3">
        <w:rPr>
          <w:rFonts w:ascii="Times New Roman" w:hAnsi="Times New Roman" w:cs="Times New Roman"/>
          <w:b/>
          <w:sz w:val="24"/>
        </w:rPr>
        <w:t>Pros</w:t>
      </w:r>
    </w:p>
    <w:p w:rsidR="00C777DF" w:rsidRPr="00ED3F31" w:rsidRDefault="00C777DF" w:rsidP="0086357B">
      <w:pPr>
        <w:spacing w:after="0" w:line="480" w:lineRule="auto"/>
        <w:jc w:val="both"/>
        <w:rPr>
          <w:rFonts w:ascii="Times New Roman" w:hAnsi="Times New Roman" w:cs="Times New Roman"/>
          <w:sz w:val="24"/>
        </w:rPr>
      </w:pPr>
      <w:r w:rsidRPr="00ED3F31">
        <w:rPr>
          <w:rFonts w:ascii="Times New Roman" w:hAnsi="Times New Roman" w:cs="Times New Roman"/>
          <w:sz w:val="24"/>
        </w:rPr>
        <w:t>It assures data sanctity</w:t>
      </w:r>
    </w:p>
    <w:p w:rsidR="00C777DF" w:rsidRPr="00F63DF3" w:rsidRDefault="00C777DF" w:rsidP="00F63DF3">
      <w:pPr>
        <w:spacing w:after="0" w:line="480" w:lineRule="auto"/>
        <w:jc w:val="center"/>
        <w:rPr>
          <w:rFonts w:ascii="Times New Roman" w:hAnsi="Times New Roman" w:cs="Times New Roman"/>
          <w:b/>
          <w:sz w:val="24"/>
        </w:rPr>
      </w:pPr>
      <w:r w:rsidRPr="00F63DF3">
        <w:rPr>
          <w:rFonts w:ascii="Times New Roman" w:hAnsi="Times New Roman" w:cs="Times New Roman"/>
          <w:b/>
          <w:sz w:val="24"/>
        </w:rPr>
        <w:t>Cons</w:t>
      </w:r>
    </w:p>
    <w:p w:rsidR="00C777DF" w:rsidRPr="00ED3F31" w:rsidRDefault="00C777DF" w:rsidP="0086357B">
      <w:pPr>
        <w:spacing w:after="0" w:line="480" w:lineRule="auto"/>
        <w:jc w:val="both"/>
        <w:rPr>
          <w:rFonts w:ascii="Times New Roman" w:hAnsi="Times New Roman" w:cs="Times New Roman"/>
          <w:sz w:val="24"/>
        </w:rPr>
      </w:pPr>
      <w:r w:rsidRPr="00ED3F31">
        <w:rPr>
          <w:rFonts w:ascii="Times New Roman" w:hAnsi="Times New Roman" w:cs="Times New Roman"/>
          <w:sz w:val="24"/>
        </w:rPr>
        <w:t xml:space="preserve">For a complex business structure, the work is </w:t>
      </w:r>
      <w:r w:rsidR="00C75306" w:rsidRPr="00ED3F31">
        <w:rPr>
          <w:rFonts w:ascii="Times New Roman" w:hAnsi="Times New Roman" w:cs="Times New Roman"/>
          <w:sz w:val="24"/>
        </w:rPr>
        <w:t>erroneous</w:t>
      </w:r>
    </w:p>
    <w:p w:rsidR="00FB29CB" w:rsidRPr="00F63DF3" w:rsidRDefault="003056BB" w:rsidP="0086357B">
      <w:pPr>
        <w:spacing w:after="0" w:line="480" w:lineRule="auto"/>
        <w:jc w:val="both"/>
        <w:rPr>
          <w:rFonts w:ascii="Times New Roman" w:hAnsi="Times New Roman" w:cs="Times New Roman"/>
          <w:b/>
          <w:sz w:val="24"/>
        </w:rPr>
      </w:pPr>
      <w:r w:rsidRPr="00F63DF3">
        <w:rPr>
          <w:rFonts w:ascii="Times New Roman" w:hAnsi="Times New Roman" w:cs="Times New Roman"/>
          <w:b/>
          <w:sz w:val="24"/>
        </w:rPr>
        <w:t>Data validation</w:t>
      </w:r>
    </w:p>
    <w:p w:rsidR="00F63DF3" w:rsidRDefault="00B53BCA" w:rsidP="00F63DF3">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 xml:space="preserve">This involves validation of every data both in the target system and legacy system. This is the best methodology to mitigate data corruption and minimize data compromise thus upholding data integrity. Data migration may results in anomalies, presence of data which is not valid, redundancy as well as duplication of data as key related issues to data integrity. There are numerous methods of performing data validation such as sample and complete data validation. </w:t>
      </w:r>
    </w:p>
    <w:p w:rsidR="00B53BCA" w:rsidRPr="00ED3F31" w:rsidRDefault="00B53BCA" w:rsidP="00F63DF3">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 xml:space="preserve">Sample validation of the data encompasses selection of the </w:t>
      </w:r>
      <w:r w:rsidR="00C72CD2" w:rsidRPr="00ED3F31">
        <w:rPr>
          <w:rFonts w:ascii="Times New Roman" w:hAnsi="Times New Roman" w:cs="Times New Roman"/>
          <w:sz w:val="24"/>
        </w:rPr>
        <w:t>records</w:t>
      </w:r>
      <w:r w:rsidRPr="00ED3F31">
        <w:rPr>
          <w:rFonts w:ascii="Times New Roman" w:hAnsi="Times New Roman" w:cs="Times New Roman"/>
          <w:sz w:val="24"/>
        </w:rPr>
        <w:t xml:space="preserve"> in the legacy system randomly and comparing the data with the records in the target system</w:t>
      </w:r>
      <w:sdt>
        <w:sdtPr>
          <w:rPr>
            <w:rFonts w:ascii="Times New Roman" w:hAnsi="Times New Roman" w:cs="Times New Roman"/>
            <w:sz w:val="24"/>
          </w:rPr>
          <w:id w:val="-1289736305"/>
          <w:citation/>
        </w:sdtPr>
        <w:sdtEndPr/>
        <w:sdtContent>
          <w:r w:rsidR="00C61B4E" w:rsidRPr="00ED3F31">
            <w:rPr>
              <w:rFonts w:ascii="Times New Roman" w:hAnsi="Times New Roman" w:cs="Times New Roman"/>
              <w:sz w:val="24"/>
            </w:rPr>
            <w:fldChar w:fldCharType="begin"/>
          </w:r>
          <w:r w:rsidR="00C61B4E" w:rsidRPr="00ED3F31">
            <w:rPr>
              <w:rFonts w:ascii="Times New Roman" w:hAnsi="Times New Roman" w:cs="Times New Roman"/>
              <w:sz w:val="24"/>
            </w:rPr>
            <w:instrText xml:space="preserve"> CITATION Che14 \l 1033 </w:instrText>
          </w:r>
          <w:r w:rsidR="00C61B4E" w:rsidRPr="00ED3F31">
            <w:rPr>
              <w:rFonts w:ascii="Times New Roman" w:hAnsi="Times New Roman" w:cs="Times New Roman"/>
              <w:sz w:val="24"/>
            </w:rPr>
            <w:fldChar w:fldCharType="separate"/>
          </w:r>
          <w:r w:rsidR="00C61B4E" w:rsidRPr="00ED3F31">
            <w:rPr>
              <w:rFonts w:ascii="Times New Roman" w:hAnsi="Times New Roman" w:cs="Times New Roman"/>
              <w:sz w:val="24"/>
            </w:rPr>
            <w:t xml:space="preserve"> (Chellamuthu, 2014)</w:t>
          </w:r>
          <w:r w:rsidR="00C61B4E" w:rsidRPr="00ED3F31">
            <w:rPr>
              <w:rFonts w:ascii="Times New Roman" w:hAnsi="Times New Roman" w:cs="Times New Roman"/>
              <w:sz w:val="24"/>
            </w:rPr>
            <w:fldChar w:fldCharType="end"/>
          </w:r>
        </w:sdtContent>
      </w:sdt>
      <w:r w:rsidR="00C72CD2" w:rsidRPr="00ED3F31">
        <w:rPr>
          <w:rFonts w:ascii="Times New Roman" w:hAnsi="Times New Roman" w:cs="Times New Roman"/>
          <w:sz w:val="24"/>
        </w:rPr>
        <w:t>. This may detect certain abnormalities in the data records but has limitations. Complete data validation, is the ideal method that should be used during migration. It gives comparison of all the records in both the legacy and target system in a bidirectional approach. Exception query is executed to compare the data between the two systems. If there exist two varying database, then the comparison will be impossible.</w:t>
      </w:r>
      <w:r w:rsidR="00C75306" w:rsidRPr="00ED3F31">
        <w:rPr>
          <w:rFonts w:ascii="Times New Roman" w:hAnsi="Times New Roman" w:cs="Times New Roman"/>
          <w:sz w:val="24"/>
        </w:rPr>
        <w:t xml:space="preserve"> Automation of the data as well as the metadata will facilitate correction of inaccuracies, inconsistencies as well as redundancies.</w:t>
      </w:r>
    </w:p>
    <w:p w:rsidR="00C777DF" w:rsidRPr="00F63DF3" w:rsidRDefault="00C777DF" w:rsidP="00F63DF3">
      <w:pPr>
        <w:spacing w:after="0" w:line="480" w:lineRule="auto"/>
        <w:ind w:left="360" w:firstLine="720"/>
        <w:jc w:val="both"/>
        <w:rPr>
          <w:rFonts w:ascii="Times New Roman" w:hAnsi="Times New Roman" w:cs="Times New Roman"/>
          <w:b/>
          <w:sz w:val="24"/>
        </w:rPr>
      </w:pPr>
      <w:r w:rsidRPr="00F63DF3">
        <w:rPr>
          <w:rFonts w:ascii="Times New Roman" w:hAnsi="Times New Roman" w:cs="Times New Roman"/>
          <w:b/>
          <w:sz w:val="24"/>
        </w:rPr>
        <w:t>Pros</w:t>
      </w:r>
    </w:p>
    <w:p w:rsidR="00C777DF" w:rsidRPr="00ED3F31" w:rsidRDefault="00C777DF" w:rsidP="0086357B">
      <w:pPr>
        <w:pStyle w:val="ListParagraph"/>
        <w:numPr>
          <w:ilvl w:val="0"/>
          <w:numId w:val="8"/>
        </w:numPr>
        <w:spacing w:after="0" w:line="480" w:lineRule="auto"/>
        <w:jc w:val="both"/>
        <w:rPr>
          <w:rFonts w:ascii="Times New Roman" w:hAnsi="Times New Roman" w:cs="Times New Roman"/>
          <w:sz w:val="24"/>
        </w:rPr>
      </w:pPr>
      <w:r w:rsidRPr="00ED3F31">
        <w:rPr>
          <w:rFonts w:ascii="Times New Roman" w:hAnsi="Times New Roman" w:cs="Times New Roman"/>
          <w:sz w:val="24"/>
        </w:rPr>
        <w:t>Complete data validation gives the actual comparison of the data</w:t>
      </w:r>
    </w:p>
    <w:p w:rsidR="00C75306" w:rsidRPr="00ED3F31" w:rsidRDefault="00C75306" w:rsidP="0086357B">
      <w:pPr>
        <w:pStyle w:val="ListParagraph"/>
        <w:numPr>
          <w:ilvl w:val="0"/>
          <w:numId w:val="8"/>
        </w:numPr>
        <w:spacing w:after="0" w:line="480" w:lineRule="auto"/>
        <w:jc w:val="both"/>
        <w:rPr>
          <w:rFonts w:ascii="Times New Roman" w:hAnsi="Times New Roman" w:cs="Times New Roman"/>
          <w:sz w:val="24"/>
        </w:rPr>
      </w:pPr>
      <w:r w:rsidRPr="00ED3F31">
        <w:rPr>
          <w:rFonts w:ascii="Times New Roman" w:hAnsi="Times New Roman" w:cs="Times New Roman"/>
          <w:sz w:val="24"/>
        </w:rPr>
        <w:t>Enables discovery of any inconsistencies and redundancies</w:t>
      </w:r>
    </w:p>
    <w:p w:rsidR="00C777DF" w:rsidRPr="00F63DF3" w:rsidRDefault="00C777DF" w:rsidP="00F63DF3">
      <w:pPr>
        <w:spacing w:after="0" w:line="480" w:lineRule="auto"/>
        <w:ind w:left="360" w:firstLine="720"/>
        <w:jc w:val="both"/>
        <w:rPr>
          <w:rFonts w:ascii="Times New Roman" w:hAnsi="Times New Roman" w:cs="Times New Roman"/>
          <w:b/>
          <w:sz w:val="24"/>
        </w:rPr>
      </w:pPr>
      <w:r w:rsidRPr="00F63DF3">
        <w:rPr>
          <w:rFonts w:ascii="Times New Roman" w:hAnsi="Times New Roman" w:cs="Times New Roman"/>
          <w:b/>
          <w:sz w:val="24"/>
        </w:rPr>
        <w:t>Cons</w:t>
      </w:r>
    </w:p>
    <w:p w:rsidR="00C777DF" w:rsidRPr="00ED3F31" w:rsidRDefault="00C777DF" w:rsidP="0086357B">
      <w:pPr>
        <w:pStyle w:val="ListParagraph"/>
        <w:numPr>
          <w:ilvl w:val="0"/>
          <w:numId w:val="9"/>
        </w:numPr>
        <w:spacing w:after="0" w:line="480" w:lineRule="auto"/>
        <w:jc w:val="both"/>
        <w:rPr>
          <w:rFonts w:ascii="Times New Roman" w:hAnsi="Times New Roman" w:cs="Times New Roman"/>
          <w:sz w:val="24"/>
        </w:rPr>
      </w:pPr>
      <w:r w:rsidRPr="00ED3F31">
        <w:rPr>
          <w:rFonts w:ascii="Times New Roman" w:hAnsi="Times New Roman" w:cs="Times New Roman"/>
          <w:sz w:val="24"/>
        </w:rPr>
        <w:t>Sample data validation is limited as the samples taken may not reveal any error or corruption of the data.</w:t>
      </w:r>
    </w:p>
    <w:p w:rsidR="00DA6E59" w:rsidRPr="00F63DF3" w:rsidRDefault="00DA6E59" w:rsidP="0086357B">
      <w:pPr>
        <w:spacing w:after="0" w:line="480" w:lineRule="auto"/>
        <w:jc w:val="both"/>
        <w:rPr>
          <w:rFonts w:ascii="Times New Roman" w:hAnsi="Times New Roman" w:cs="Times New Roman"/>
          <w:b/>
          <w:sz w:val="24"/>
        </w:rPr>
      </w:pPr>
      <w:r w:rsidRPr="00F63DF3">
        <w:rPr>
          <w:rFonts w:ascii="Times New Roman" w:hAnsi="Times New Roman" w:cs="Times New Roman"/>
          <w:b/>
          <w:sz w:val="24"/>
        </w:rPr>
        <w:t>Minimization of data duplication</w:t>
      </w:r>
    </w:p>
    <w:p w:rsidR="00DA6E59" w:rsidRPr="00ED3F31" w:rsidRDefault="00DA6E59" w:rsidP="00F63DF3">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The primary objective of the Bank system is elimination of the complexities and certify an efficient and effective process. It is imperative that the bank should ensure that their integrated systems comprises of subsets of data which is individuals and avoid residing of the data on the systems</w:t>
      </w:r>
      <w:sdt>
        <w:sdtPr>
          <w:rPr>
            <w:rFonts w:ascii="Times New Roman" w:hAnsi="Times New Roman" w:cs="Times New Roman"/>
            <w:sz w:val="24"/>
          </w:rPr>
          <w:id w:val="1897006917"/>
          <w:citation/>
        </w:sdtPr>
        <w:sdtEndPr/>
        <w:sdtContent>
          <w:r w:rsidR="00ED3F31" w:rsidRPr="00ED3F31">
            <w:rPr>
              <w:rFonts w:ascii="Times New Roman" w:hAnsi="Times New Roman" w:cs="Times New Roman"/>
              <w:sz w:val="24"/>
            </w:rPr>
            <w:fldChar w:fldCharType="begin"/>
          </w:r>
          <w:r w:rsidR="00ED3F31" w:rsidRPr="00ED3F31">
            <w:rPr>
              <w:rFonts w:ascii="Times New Roman" w:hAnsi="Times New Roman" w:cs="Times New Roman"/>
              <w:sz w:val="24"/>
            </w:rPr>
            <w:instrText xml:space="preserve"> CITATION Sti18 \l 1033 </w:instrText>
          </w:r>
          <w:r w:rsidR="00ED3F31" w:rsidRPr="00ED3F31">
            <w:rPr>
              <w:rFonts w:ascii="Times New Roman" w:hAnsi="Times New Roman" w:cs="Times New Roman"/>
              <w:sz w:val="24"/>
            </w:rPr>
            <w:fldChar w:fldCharType="separate"/>
          </w:r>
          <w:r w:rsidR="00ED3F31" w:rsidRPr="00ED3F31">
            <w:rPr>
              <w:rFonts w:ascii="Times New Roman" w:hAnsi="Times New Roman" w:cs="Times New Roman"/>
              <w:sz w:val="24"/>
            </w:rPr>
            <w:t xml:space="preserve"> (Stirk, 2018)</w:t>
          </w:r>
          <w:r w:rsidR="00ED3F31" w:rsidRPr="00ED3F31">
            <w:rPr>
              <w:rFonts w:ascii="Times New Roman" w:hAnsi="Times New Roman" w:cs="Times New Roman"/>
              <w:sz w:val="24"/>
            </w:rPr>
            <w:fldChar w:fldCharType="end"/>
          </w:r>
        </w:sdtContent>
      </w:sdt>
      <w:r w:rsidRPr="00ED3F31">
        <w:rPr>
          <w:rFonts w:ascii="Times New Roman" w:hAnsi="Times New Roman" w:cs="Times New Roman"/>
          <w:sz w:val="24"/>
        </w:rPr>
        <w:t>. If the management will require data duplication, then they should enable system update and roll out the various modifications instead of implementing tedious updates of individual data. Legacy systems usually encompasses multiple entries of the same client thus it is important for the bank personnel to handle the data carefully so as to dodge duplication of the data.</w:t>
      </w:r>
    </w:p>
    <w:p w:rsidR="00DA6E59" w:rsidRPr="00F63DF3" w:rsidRDefault="00DA6E59" w:rsidP="00F63DF3">
      <w:pPr>
        <w:spacing w:after="0" w:line="480" w:lineRule="auto"/>
        <w:ind w:firstLine="720"/>
        <w:jc w:val="both"/>
        <w:rPr>
          <w:rFonts w:ascii="Times New Roman" w:hAnsi="Times New Roman" w:cs="Times New Roman"/>
          <w:b/>
          <w:sz w:val="24"/>
        </w:rPr>
      </w:pPr>
      <w:r w:rsidRPr="00F63DF3">
        <w:rPr>
          <w:rFonts w:ascii="Times New Roman" w:hAnsi="Times New Roman" w:cs="Times New Roman"/>
          <w:b/>
          <w:sz w:val="24"/>
        </w:rPr>
        <w:t>Pros</w:t>
      </w:r>
    </w:p>
    <w:p w:rsidR="00DA6E59" w:rsidRPr="00ED3F31" w:rsidRDefault="00DA6E59" w:rsidP="0086357B">
      <w:pPr>
        <w:spacing w:after="0" w:line="480" w:lineRule="auto"/>
        <w:jc w:val="both"/>
        <w:rPr>
          <w:rFonts w:ascii="Times New Roman" w:hAnsi="Times New Roman" w:cs="Times New Roman"/>
          <w:sz w:val="24"/>
        </w:rPr>
      </w:pPr>
      <w:r w:rsidRPr="00ED3F31">
        <w:rPr>
          <w:rFonts w:ascii="Times New Roman" w:hAnsi="Times New Roman" w:cs="Times New Roman"/>
          <w:sz w:val="24"/>
        </w:rPr>
        <w:t>Ensures minimal redundancy of the records.</w:t>
      </w:r>
    </w:p>
    <w:p w:rsidR="00CC741D" w:rsidRPr="00F63DF3" w:rsidRDefault="00CC741D" w:rsidP="00F63DF3">
      <w:pPr>
        <w:spacing w:after="0" w:line="480" w:lineRule="auto"/>
        <w:jc w:val="both"/>
        <w:rPr>
          <w:rFonts w:ascii="Times New Roman" w:hAnsi="Times New Roman" w:cs="Times New Roman"/>
          <w:b/>
          <w:sz w:val="24"/>
        </w:rPr>
      </w:pPr>
      <w:r w:rsidRPr="00F63DF3">
        <w:rPr>
          <w:rFonts w:ascii="Times New Roman" w:hAnsi="Times New Roman" w:cs="Times New Roman"/>
          <w:b/>
          <w:sz w:val="24"/>
        </w:rPr>
        <w:t>Plan of action</w:t>
      </w:r>
    </w:p>
    <w:p w:rsidR="00C72CD2" w:rsidRPr="00ED3F31" w:rsidRDefault="00C72CD2" w:rsidP="00CC7057">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The best and effective methodology in mitigating the issue with TSB bank would be undertaking of risk assessment prior to the onset of the migration.  This would involves phases such as mock runs and preparing for any risks.</w:t>
      </w:r>
      <w:r w:rsidR="00C61B4E" w:rsidRPr="00ED3F31">
        <w:rPr>
          <w:rFonts w:ascii="Times New Roman" w:hAnsi="Times New Roman" w:cs="Times New Roman"/>
          <w:sz w:val="24"/>
        </w:rPr>
        <w:t xml:space="preserve"> Since data migration of large volumes is very complex, thus it is vital to plan for any contingencies and cost overruns that may develop from the system</w:t>
      </w:r>
      <w:r w:rsidRPr="00ED3F31">
        <w:rPr>
          <w:rFonts w:ascii="Times New Roman" w:hAnsi="Times New Roman" w:cs="Times New Roman"/>
          <w:sz w:val="24"/>
        </w:rPr>
        <w:t xml:space="preserve"> </w:t>
      </w:r>
      <w:r w:rsidR="00C61B4E" w:rsidRPr="00ED3F31">
        <w:rPr>
          <w:rFonts w:ascii="Times New Roman" w:hAnsi="Times New Roman" w:cs="Times New Roman"/>
          <w:sz w:val="24"/>
        </w:rPr>
        <w:t>.Consequently</w:t>
      </w:r>
      <w:r w:rsidRPr="00ED3F31">
        <w:rPr>
          <w:rFonts w:ascii="Times New Roman" w:hAnsi="Times New Roman" w:cs="Times New Roman"/>
          <w:sz w:val="24"/>
        </w:rPr>
        <w:t xml:space="preserve">, the organization should implement complete set of data validation. This would reveal any abnormalities within the </w:t>
      </w:r>
      <w:r w:rsidR="00C75306" w:rsidRPr="00ED3F31">
        <w:rPr>
          <w:rFonts w:ascii="Times New Roman" w:hAnsi="Times New Roman" w:cs="Times New Roman"/>
          <w:sz w:val="24"/>
        </w:rPr>
        <w:t xml:space="preserve">system thus they will have </w:t>
      </w:r>
      <w:r w:rsidR="00C61B4E" w:rsidRPr="00ED3F31">
        <w:rPr>
          <w:rFonts w:ascii="Times New Roman" w:hAnsi="Times New Roman" w:cs="Times New Roman"/>
          <w:sz w:val="24"/>
        </w:rPr>
        <w:t>known</w:t>
      </w:r>
      <w:r w:rsidRPr="00ED3F31">
        <w:rPr>
          <w:rFonts w:ascii="Times New Roman" w:hAnsi="Times New Roman" w:cs="Times New Roman"/>
          <w:sz w:val="24"/>
        </w:rPr>
        <w:t xml:space="preserve"> that the quality of their data is corrupted in the early stages, thus implementing efficient and reliable methodologies in preventing loss of the records</w:t>
      </w:r>
      <w:r w:rsidR="00ED3F31" w:rsidRPr="00ED3F31">
        <w:rPr>
          <w:rFonts w:ascii="Times New Roman" w:hAnsi="Times New Roman" w:cs="Times New Roman"/>
          <w:sz w:val="24"/>
        </w:rPr>
        <w:t xml:space="preserve"> (Petrocelli, 2006)</w:t>
      </w:r>
      <w:r w:rsidRPr="00ED3F31">
        <w:rPr>
          <w:rFonts w:ascii="Times New Roman" w:hAnsi="Times New Roman" w:cs="Times New Roman"/>
          <w:sz w:val="24"/>
        </w:rPr>
        <w:t>.</w:t>
      </w:r>
    </w:p>
    <w:p w:rsidR="00CC741D" w:rsidRPr="00CC7057" w:rsidRDefault="00CC741D" w:rsidP="0086357B">
      <w:pPr>
        <w:spacing w:after="0" w:line="480" w:lineRule="auto"/>
        <w:jc w:val="both"/>
        <w:rPr>
          <w:rFonts w:ascii="Times New Roman" w:hAnsi="Times New Roman" w:cs="Times New Roman"/>
          <w:b/>
          <w:sz w:val="24"/>
        </w:rPr>
      </w:pPr>
      <w:r w:rsidRPr="00CC7057">
        <w:rPr>
          <w:rFonts w:ascii="Times New Roman" w:hAnsi="Times New Roman" w:cs="Times New Roman"/>
          <w:b/>
          <w:sz w:val="24"/>
        </w:rPr>
        <w:t>Conclusion</w:t>
      </w:r>
    </w:p>
    <w:p w:rsidR="004550D4" w:rsidRPr="00ED3F31" w:rsidRDefault="004550D4" w:rsidP="00CC7057">
      <w:pPr>
        <w:spacing w:after="0" w:line="480" w:lineRule="auto"/>
        <w:ind w:firstLine="720"/>
        <w:jc w:val="both"/>
        <w:rPr>
          <w:rFonts w:ascii="Times New Roman" w:hAnsi="Times New Roman" w:cs="Times New Roman"/>
          <w:sz w:val="24"/>
        </w:rPr>
      </w:pPr>
      <w:r w:rsidRPr="00ED3F31">
        <w:rPr>
          <w:rFonts w:ascii="Times New Roman" w:hAnsi="Times New Roman" w:cs="Times New Roman"/>
          <w:sz w:val="24"/>
        </w:rPr>
        <w:t>Data migration is a critical and an important IT operation in our technological world. Despite</w:t>
      </w:r>
      <w:r w:rsidR="00C61B4E" w:rsidRPr="00ED3F31">
        <w:rPr>
          <w:rFonts w:ascii="Times New Roman" w:hAnsi="Times New Roman" w:cs="Times New Roman"/>
          <w:sz w:val="24"/>
        </w:rPr>
        <w:t xml:space="preserve"> its merits, the</w:t>
      </w:r>
      <w:r w:rsidRPr="00ED3F31">
        <w:rPr>
          <w:rFonts w:ascii="Times New Roman" w:hAnsi="Times New Roman" w:cs="Times New Roman"/>
          <w:sz w:val="24"/>
        </w:rPr>
        <w:t xml:space="preserve"> process often results in major disruptions leading to errors in the quality of data as well as application performance. Another potential effect is the impact on the organizational budget. In order to prevent these challenges, the organization or institutions should innovate a consistent and dependable methodology enabling planning, migration and validation of the organization operations.</w:t>
      </w:r>
      <w:r w:rsidR="00C61B4E" w:rsidRPr="00ED3F31">
        <w:rPr>
          <w:rFonts w:ascii="Times New Roman" w:hAnsi="Times New Roman" w:cs="Times New Roman"/>
          <w:sz w:val="24"/>
        </w:rPr>
        <w:t xml:space="preserve"> The TSB bank should have done Risk assessment of the migration of the customers’ records before implementing the process. The process is sensitive and requires allocation of resources to protect the customers’ privacy and confidentiality.</w:t>
      </w:r>
    </w:p>
    <w:p w:rsidR="00C61B4E" w:rsidRPr="00ED3F31" w:rsidRDefault="00C61B4E" w:rsidP="0086357B">
      <w:pPr>
        <w:spacing w:after="0" w:line="480" w:lineRule="auto"/>
        <w:jc w:val="both"/>
        <w:rPr>
          <w:rFonts w:ascii="Times New Roman" w:hAnsi="Times New Roman" w:cs="Times New Roman"/>
          <w:sz w:val="24"/>
        </w:rPr>
      </w:pPr>
    </w:p>
    <w:p w:rsidR="00C61B4E" w:rsidRPr="00ED3F31" w:rsidRDefault="00C61B4E" w:rsidP="0086357B">
      <w:pPr>
        <w:spacing w:after="0" w:line="480" w:lineRule="auto"/>
        <w:jc w:val="both"/>
        <w:rPr>
          <w:rFonts w:ascii="Times New Roman" w:hAnsi="Times New Roman" w:cs="Times New Roman"/>
          <w:sz w:val="24"/>
        </w:rPr>
      </w:pPr>
    </w:p>
    <w:p w:rsidR="00C61B4E" w:rsidRPr="00ED3F31" w:rsidRDefault="00C61B4E" w:rsidP="0086357B">
      <w:pPr>
        <w:spacing w:after="0" w:line="480" w:lineRule="auto"/>
        <w:jc w:val="both"/>
        <w:rPr>
          <w:rFonts w:ascii="Times New Roman" w:hAnsi="Times New Roman" w:cs="Times New Roman"/>
          <w:sz w:val="24"/>
        </w:rPr>
      </w:pPr>
      <w:r w:rsidRPr="00ED3F31">
        <w:rPr>
          <w:rFonts w:ascii="Times New Roman" w:hAnsi="Times New Roman" w:cs="Times New Roman"/>
          <w:sz w:val="24"/>
        </w:rPr>
        <w:br w:type="page"/>
      </w:r>
    </w:p>
    <w:p w:rsidR="00C61B4E" w:rsidRPr="00ED3F31" w:rsidRDefault="00C61B4E" w:rsidP="0086357B">
      <w:pPr>
        <w:spacing w:after="0" w:line="480" w:lineRule="auto"/>
        <w:jc w:val="center"/>
        <w:rPr>
          <w:rFonts w:ascii="Times New Roman" w:hAnsi="Times New Roman" w:cs="Times New Roman"/>
          <w:sz w:val="24"/>
        </w:rPr>
      </w:pPr>
      <w:r w:rsidRPr="00ED3F31">
        <w:rPr>
          <w:rFonts w:ascii="Times New Roman" w:hAnsi="Times New Roman" w:cs="Times New Roman"/>
          <w:sz w:val="24"/>
        </w:rPr>
        <w:t>References</w:t>
      </w:r>
    </w:p>
    <w:sdt>
      <w:sdtPr>
        <w:rPr>
          <w:rFonts w:ascii="Times New Roman" w:hAnsi="Times New Roman" w:cs="Times New Roman"/>
          <w:sz w:val="24"/>
        </w:rPr>
        <w:id w:val="-573587230"/>
        <w:bibliography/>
      </w:sdtPr>
      <w:sdtEndPr/>
      <w:sdtContent>
        <w:p w:rsidR="00ED3F31" w:rsidRPr="00ED3F31" w:rsidRDefault="00ED3F31" w:rsidP="0086357B">
          <w:pPr>
            <w:spacing w:after="0" w:line="480" w:lineRule="auto"/>
            <w:ind w:left="720" w:hanging="720"/>
            <w:jc w:val="both"/>
            <w:rPr>
              <w:rFonts w:ascii="Times New Roman" w:hAnsi="Times New Roman" w:cs="Times New Roman"/>
              <w:sz w:val="24"/>
            </w:rPr>
          </w:pPr>
          <w:r w:rsidRPr="00ED3F31">
            <w:rPr>
              <w:rFonts w:ascii="Times New Roman" w:hAnsi="Times New Roman" w:cs="Times New Roman"/>
              <w:sz w:val="24"/>
            </w:rPr>
            <w:fldChar w:fldCharType="begin"/>
          </w:r>
          <w:r w:rsidRPr="00ED3F31">
            <w:rPr>
              <w:rFonts w:ascii="Times New Roman" w:hAnsi="Times New Roman" w:cs="Times New Roman"/>
              <w:sz w:val="24"/>
            </w:rPr>
            <w:instrText xml:space="preserve"> BIBLIOGRAPHY </w:instrText>
          </w:r>
          <w:r w:rsidRPr="00ED3F31">
            <w:rPr>
              <w:rFonts w:ascii="Times New Roman" w:hAnsi="Times New Roman" w:cs="Times New Roman"/>
              <w:sz w:val="24"/>
            </w:rPr>
            <w:fldChar w:fldCharType="separate"/>
          </w:r>
          <w:r w:rsidRPr="00ED3F31">
            <w:rPr>
              <w:rFonts w:ascii="Times New Roman" w:hAnsi="Times New Roman" w:cs="Times New Roman"/>
              <w:sz w:val="24"/>
            </w:rPr>
            <w:t>A Path to Efficient Data Migration. (2016, November). Retrieved from Cognizant: https://www.cognizant.com/whitepapers/a-path-to-efficient-data-migration-in-core-banking-codex2287.pdf</w:t>
          </w:r>
        </w:p>
        <w:p w:rsidR="00CC7057" w:rsidRDefault="00ED3F31" w:rsidP="00CC7057">
          <w:pPr>
            <w:spacing w:after="0" w:line="480" w:lineRule="auto"/>
            <w:ind w:left="720" w:hanging="720"/>
            <w:jc w:val="both"/>
            <w:rPr>
              <w:rFonts w:ascii="Times New Roman" w:hAnsi="Times New Roman" w:cs="Times New Roman"/>
              <w:sz w:val="24"/>
            </w:rPr>
          </w:pPr>
          <w:r w:rsidRPr="00ED3F31">
            <w:rPr>
              <w:rFonts w:ascii="Times New Roman" w:hAnsi="Times New Roman" w:cs="Times New Roman"/>
              <w:sz w:val="24"/>
            </w:rPr>
            <w:t>Chellamuthu, P. (2014, September 18). Data Migration Challenges and solution for successful implementation. Retrieved from Linked In: https://www.linkedin.com/pulse/20140918151302-65816706-data-migration-challenges-and-solution-for-successful-implementation</w:t>
          </w:r>
          <w:r w:rsidRPr="00ED3F31">
            <w:rPr>
              <w:rFonts w:ascii="Times New Roman" w:hAnsi="Times New Roman" w:cs="Times New Roman"/>
              <w:sz w:val="24"/>
            </w:rPr>
            <w:fldChar w:fldCharType="end"/>
          </w:r>
        </w:p>
      </w:sdtContent>
    </w:sdt>
    <w:p w:rsidR="00ED3F31" w:rsidRPr="00ED3F31" w:rsidRDefault="00C61B4E" w:rsidP="00CC7057">
      <w:pPr>
        <w:spacing w:after="0" w:line="480" w:lineRule="auto"/>
        <w:ind w:left="720" w:hanging="720"/>
        <w:jc w:val="both"/>
        <w:rPr>
          <w:rFonts w:ascii="Times New Roman" w:hAnsi="Times New Roman" w:cs="Times New Roman"/>
          <w:sz w:val="24"/>
        </w:rPr>
      </w:pPr>
      <w:r w:rsidRPr="00ED3F31">
        <w:rPr>
          <w:rFonts w:ascii="Times New Roman" w:hAnsi="Times New Roman" w:cs="Times New Roman"/>
          <w:sz w:val="24"/>
        </w:rPr>
        <w:t>Petrocelli, T. D. (2006). Data protection and information lifecycle management. Upper Saddle River, NJ: Prentice Hall Professional Technical Reference.</w:t>
      </w:r>
      <w:bookmarkStart w:id="0" w:name="_GoBack"/>
      <w:bookmarkEnd w:id="0"/>
    </w:p>
    <w:p w:rsidR="00ED3F31" w:rsidRPr="00ED3F31" w:rsidRDefault="00ED3F31" w:rsidP="0086357B">
      <w:pPr>
        <w:spacing w:after="0" w:line="480" w:lineRule="auto"/>
        <w:ind w:left="720" w:hanging="720"/>
        <w:jc w:val="both"/>
        <w:rPr>
          <w:rFonts w:ascii="Times New Roman" w:hAnsi="Times New Roman" w:cs="Times New Roman"/>
          <w:sz w:val="24"/>
        </w:rPr>
      </w:pPr>
      <w:r w:rsidRPr="00ED3F31">
        <w:rPr>
          <w:rFonts w:ascii="Times New Roman" w:hAnsi="Times New Roman" w:cs="Times New Roman"/>
          <w:sz w:val="24"/>
        </w:rPr>
        <w:t>Stirk, A. (2018, October 1). What we can learn from TSB's IT issues. Retrieved from ITProPortal: https://www.itproportal.com/features/what-we-can-learn-from-tsbs-it-issues/</w:t>
      </w:r>
    </w:p>
    <w:sdt>
      <w:sdtPr>
        <w:rPr>
          <w:rFonts w:ascii="Times New Roman" w:hAnsi="Times New Roman" w:cs="Times New Roman"/>
          <w:sz w:val="24"/>
        </w:rPr>
        <w:id w:val="1775514212"/>
        <w:docPartObj>
          <w:docPartGallery w:val="Bibliographies"/>
          <w:docPartUnique/>
        </w:docPartObj>
      </w:sdtPr>
      <w:sdtEndPr/>
      <w:sdtContent>
        <w:p w:rsidR="00ED3F31" w:rsidRPr="00ED3F31" w:rsidRDefault="001351A4" w:rsidP="0086357B">
          <w:pPr>
            <w:spacing w:after="0" w:line="480" w:lineRule="auto"/>
            <w:jc w:val="both"/>
            <w:rPr>
              <w:rFonts w:ascii="Times New Roman" w:hAnsi="Times New Roman" w:cs="Times New Roman"/>
              <w:sz w:val="24"/>
            </w:rPr>
          </w:pPr>
        </w:p>
      </w:sdtContent>
    </w:sdt>
    <w:p w:rsidR="00ED3F31" w:rsidRPr="00ED3F31" w:rsidRDefault="00ED3F31" w:rsidP="0086357B">
      <w:pPr>
        <w:spacing w:after="0" w:line="480" w:lineRule="auto"/>
        <w:jc w:val="both"/>
        <w:rPr>
          <w:rFonts w:ascii="Times New Roman" w:hAnsi="Times New Roman" w:cs="Times New Roman"/>
          <w:sz w:val="24"/>
        </w:rPr>
      </w:pPr>
    </w:p>
    <w:sectPr w:rsidR="00ED3F31" w:rsidRPr="00ED3F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1A4" w:rsidRDefault="001351A4" w:rsidP="00C61B4E">
      <w:pPr>
        <w:spacing w:after="0" w:line="240" w:lineRule="auto"/>
      </w:pPr>
      <w:r>
        <w:separator/>
      </w:r>
    </w:p>
  </w:endnote>
  <w:endnote w:type="continuationSeparator" w:id="0">
    <w:p w:rsidR="001351A4" w:rsidRDefault="001351A4" w:rsidP="00C61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1A4" w:rsidRDefault="001351A4" w:rsidP="00C61B4E">
      <w:pPr>
        <w:spacing w:after="0" w:line="240" w:lineRule="auto"/>
      </w:pPr>
      <w:r>
        <w:separator/>
      </w:r>
    </w:p>
  </w:footnote>
  <w:footnote w:type="continuationSeparator" w:id="0">
    <w:p w:rsidR="001351A4" w:rsidRDefault="001351A4" w:rsidP="00C61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B4E" w:rsidRPr="00C61B4E" w:rsidRDefault="00C61B4E">
    <w:pPr>
      <w:pStyle w:val="Header"/>
      <w:jc w:val="right"/>
      <w:rPr>
        <w:rFonts w:ascii="Times New Roman" w:hAnsi="Times New Roman" w:cs="Times New Roman"/>
        <w:sz w:val="24"/>
      </w:rPr>
    </w:pPr>
    <w:r w:rsidRPr="00C61B4E">
      <w:rPr>
        <w:rFonts w:ascii="Times New Roman" w:hAnsi="Times New Roman" w:cs="Times New Roman"/>
        <w:sz w:val="24"/>
      </w:rPr>
      <w:t xml:space="preserve">Running head: TSB BANK </w:t>
    </w:r>
    <w:r w:rsidRPr="00C61B4E">
      <w:rPr>
        <w:rFonts w:ascii="Times New Roman" w:hAnsi="Times New Roman" w:cs="Times New Roman"/>
        <w:sz w:val="24"/>
      </w:rPr>
      <w:tab/>
    </w:r>
    <w:r w:rsidRPr="00C61B4E">
      <w:rPr>
        <w:rFonts w:ascii="Times New Roman" w:hAnsi="Times New Roman" w:cs="Times New Roman"/>
        <w:sz w:val="24"/>
      </w:rPr>
      <w:tab/>
    </w:r>
    <w:sdt>
      <w:sdtPr>
        <w:rPr>
          <w:rFonts w:ascii="Times New Roman" w:hAnsi="Times New Roman" w:cs="Times New Roman"/>
          <w:sz w:val="24"/>
        </w:rPr>
        <w:id w:val="-987783395"/>
        <w:docPartObj>
          <w:docPartGallery w:val="Page Numbers (Top of Page)"/>
          <w:docPartUnique/>
        </w:docPartObj>
      </w:sdtPr>
      <w:sdtEndPr>
        <w:rPr>
          <w:noProof/>
        </w:rPr>
      </w:sdtEndPr>
      <w:sdtContent>
        <w:r w:rsidRPr="00C61B4E">
          <w:rPr>
            <w:rFonts w:ascii="Times New Roman" w:hAnsi="Times New Roman" w:cs="Times New Roman"/>
            <w:sz w:val="24"/>
          </w:rPr>
          <w:fldChar w:fldCharType="begin"/>
        </w:r>
        <w:r w:rsidRPr="00C61B4E">
          <w:rPr>
            <w:rFonts w:ascii="Times New Roman" w:hAnsi="Times New Roman" w:cs="Times New Roman"/>
            <w:sz w:val="24"/>
          </w:rPr>
          <w:instrText xml:space="preserve"> PAGE   \* MERGEFORMAT </w:instrText>
        </w:r>
        <w:r w:rsidRPr="00C61B4E">
          <w:rPr>
            <w:rFonts w:ascii="Times New Roman" w:hAnsi="Times New Roman" w:cs="Times New Roman"/>
            <w:sz w:val="24"/>
          </w:rPr>
          <w:fldChar w:fldCharType="separate"/>
        </w:r>
        <w:r w:rsidR="001351A4">
          <w:rPr>
            <w:rFonts w:ascii="Times New Roman" w:hAnsi="Times New Roman" w:cs="Times New Roman"/>
            <w:noProof/>
            <w:sz w:val="24"/>
          </w:rPr>
          <w:t>1</w:t>
        </w:r>
        <w:r w:rsidRPr="00C61B4E">
          <w:rPr>
            <w:rFonts w:ascii="Times New Roman" w:hAnsi="Times New Roman" w:cs="Times New Roman"/>
            <w:noProof/>
            <w:sz w:val="24"/>
          </w:rPr>
          <w:fldChar w:fldCharType="end"/>
        </w:r>
      </w:sdtContent>
    </w:sdt>
  </w:p>
  <w:p w:rsidR="00C61B4E" w:rsidRPr="00C61B4E" w:rsidRDefault="00C61B4E">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D96BC3"/>
    <w:multiLevelType w:val="hybridMultilevel"/>
    <w:tmpl w:val="C9B84D12"/>
    <w:lvl w:ilvl="0" w:tplc="39001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324C9D"/>
    <w:multiLevelType w:val="hybridMultilevel"/>
    <w:tmpl w:val="5CFE03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75515"/>
    <w:multiLevelType w:val="hybridMultilevel"/>
    <w:tmpl w:val="8A56A574"/>
    <w:lvl w:ilvl="0" w:tplc="39001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E68F3"/>
    <w:multiLevelType w:val="hybridMultilevel"/>
    <w:tmpl w:val="3F588FB0"/>
    <w:lvl w:ilvl="0" w:tplc="4C3056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F0933"/>
    <w:multiLevelType w:val="hybridMultilevel"/>
    <w:tmpl w:val="38349E5C"/>
    <w:lvl w:ilvl="0" w:tplc="0409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B81614"/>
    <w:multiLevelType w:val="hybridMultilevel"/>
    <w:tmpl w:val="8738D298"/>
    <w:lvl w:ilvl="0" w:tplc="39001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74058D"/>
    <w:multiLevelType w:val="hybridMultilevel"/>
    <w:tmpl w:val="C9B477D6"/>
    <w:lvl w:ilvl="0" w:tplc="39001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DF3B9B"/>
    <w:multiLevelType w:val="hybridMultilevel"/>
    <w:tmpl w:val="D9BEDD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C0843"/>
    <w:multiLevelType w:val="hybridMultilevel"/>
    <w:tmpl w:val="FB1C0352"/>
    <w:lvl w:ilvl="0" w:tplc="39001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0"/>
  </w:num>
  <w:num w:numId="5">
    <w:abstractNumId w:val="5"/>
  </w:num>
  <w:num w:numId="6">
    <w:abstractNumId w:val="2"/>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206"/>
    <w:rsid w:val="001351A4"/>
    <w:rsid w:val="001D23CF"/>
    <w:rsid w:val="001D7206"/>
    <w:rsid w:val="001E7FB1"/>
    <w:rsid w:val="002C2B99"/>
    <w:rsid w:val="003056BB"/>
    <w:rsid w:val="003B12CD"/>
    <w:rsid w:val="003B6FC7"/>
    <w:rsid w:val="004550D4"/>
    <w:rsid w:val="0047111E"/>
    <w:rsid w:val="00572976"/>
    <w:rsid w:val="00586B78"/>
    <w:rsid w:val="0059003C"/>
    <w:rsid w:val="00676D26"/>
    <w:rsid w:val="0072614F"/>
    <w:rsid w:val="00801834"/>
    <w:rsid w:val="0086357B"/>
    <w:rsid w:val="009C68E5"/>
    <w:rsid w:val="00A50448"/>
    <w:rsid w:val="00AA3BA3"/>
    <w:rsid w:val="00B2788D"/>
    <w:rsid w:val="00B53BCA"/>
    <w:rsid w:val="00C61B4E"/>
    <w:rsid w:val="00C72CD2"/>
    <w:rsid w:val="00C75306"/>
    <w:rsid w:val="00C777DF"/>
    <w:rsid w:val="00CC7057"/>
    <w:rsid w:val="00CC741D"/>
    <w:rsid w:val="00CE7874"/>
    <w:rsid w:val="00CF3C1D"/>
    <w:rsid w:val="00DA6E59"/>
    <w:rsid w:val="00E853B4"/>
    <w:rsid w:val="00ED3F31"/>
    <w:rsid w:val="00F24DE9"/>
    <w:rsid w:val="00F63DF3"/>
    <w:rsid w:val="00FB2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D0ED3-B632-428B-864D-484B091D6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3F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CD2"/>
    <w:pPr>
      <w:ind w:left="720"/>
      <w:contextualSpacing/>
    </w:pPr>
  </w:style>
  <w:style w:type="paragraph" w:styleId="Header">
    <w:name w:val="header"/>
    <w:basedOn w:val="Normal"/>
    <w:link w:val="HeaderChar"/>
    <w:uiPriority w:val="99"/>
    <w:unhideWhenUsed/>
    <w:rsid w:val="00C61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B4E"/>
  </w:style>
  <w:style w:type="paragraph" w:styleId="Footer">
    <w:name w:val="footer"/>
    <w:basedOn w:val="Normal"/>
    <w:link w:val="FooterChar"/>
    <w:uiPriority w:val="99"/>
    <w:unhideWhenUsed/>
    <w:rsid w:val="00C61B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B4E"/>
  </w:style>
  <w:style w:type="character" w:customStyle="1" w:styleId="apple-converted-space">
    <w:name w:val="apple-converted-space"/>
    <w:basedOn w:val="DefaultParagraphFont"/>
    <w:rsid w:val="00C61B4E"/>
  </w:style>
  <w:style w:type="character" w:customStyle="1" w:styleId="Heading1Char">
    <w:name w:val="Heading 1 Char"/>
    <w:basedOn w:val="DefaultParagraphFont"/>
    <w:link w:val="Heading1"/>
    <w:uiPriority w:val="9"/>
    <w:rsid w:val="00ED3F3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D3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096973">
      <w:bodyDiv w:val="1"/>
      <w:marLeft w:val="0"/>
      <w:marRight w:val="0"/>
      <w:marTop w:val="0"/>
      <w:marBottom w:val="0"/>
      <w:divBdr>
        <w:top w:val="none" w:sz="0" w:space="0" w:color="auto"/>
        <w:left w:val="none" w:sz="0" w:space="0" w:color="auto"/>
        <w:bottom w:val="none" w:sz="0" w:space="0" w:color="auto"/>
        <w:right w:val="none" w:sz="0" w:space="0" w:color="auto"/>
      </w:divBdr>
    </w:div>
    <w:div w:id="1629362704">
      <w:bodyDiv w:val="1"/>
      <w:marLeft w:val="0"/>
      <w:marRight w:val="0"/>
      <w:marTop w:val="0"/>
      <w:marBottom w:val="0"/>
      <w:divBdr>
        <w:top w:val="none" w:sz="0" w:space="0" w:color="auto"/>
        <w:left w:val="none" w:sz="0" w:space="0" w:color="auto"/>
        <w:bottom w:val="none" w:sz="0" w:space="0" w:color="auto"/>
        <w:right w:val="none" w:sz="0" w:space="0" w:color="auto"/>
      </w:divBdr>
    </w:div>
    <w:div w:id="1659382372">
      <w:bodyDiv w:val="1"/>
      <w:marLeft w:val="0"/>
      <w:marRight w:val="0"/>
      <w:marTop w:val="0"/>
      <w:marBottom w:val="0"/>
      <w:divBdr>
        <w:top w:val="none" w:sz="0" w:space="0" w:color="auto"/>
        <w:left w:val="none" w:sz="0" w:space="0" w:color="auto"/>
        <w:bottom w:val="none" w:sz="0" w:space="0" w:color="auto"/>
        <w:right w:val="none" w:sz="0" w:space="0" w:color="auto"/>
      </w:divBdr>
    </w:div>
    <w:div w:id="1796293568">
      <w:bodyDiv w:val="1"/>
      <w:marLeft w:val="0"/>
      <w:marRight w:val="0"/>
      <w:marTop w:val="0"/>
      <w:marBottom w:val="0"/>
      <w:divBdr>
        <w:top w:val="none" w:sz="0" w:space="0" w:color="auto"/>
        <w:left w:val="none" w:sz="0" w:space="0" w:color="auto"/>
        <w:bottom w:val="none" w:sz="0" w:space="0" w:color="auto"/>
        <w:right w:val="none" w:sz="0" w:space="0" w:color="auto"/>
      </w:divBdr>
    </w:div>
    <w:div w:id="208865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Che14</b:Tag>
    <b:SourceType>InternetSite</b:SourceType>
    <b:Guid>{64AA43B3-4F6E-4CF6-876F-C66AB7230801}</b:Guid>
    <b:Title>Data Migration Challenges and solution for successful implementation</b:Title>
    <b:InternetSiteTitle>Linked In</b:InternetSiteTitle>
    <b:Year>2014</b:Year>
    <b:Month>September</b:Month>
    <b:Day>18</b:Day>
    <b:URL>https://www.linkedin.com/pulse/20140918151302-65816706-data-migration-challenges-and-solution-for-successful-implementation</b:URL>
    <b:Author>
      <b:Author>
        <b:NameList>
          <b:Person>
            <b:Last>Chellamuthu</b:Last>
            <b:First>Prabhu </b:First>
          </b:Person>
        </b:NameList>
      </b:Author>
    </b:Author>
    <b:RefOrder>2</b:RefOrder>
  </b:Source>
  <b:Source>
    <b:Tag>APa16</b:Tag>
    <b:SourceType>DocumentFromInternetSite</b:SourceType>
    <b:Guid>{127044D4-218B-4DAB-B155-64B7627DBC7D}</b:Guid>
    <b:Title>A Path to Efficient Data Migration</b:Title>
    <b:InternetSiteTitle> Cognizant</b:InternetSiteTitle>
    <b:Year>2016</b:Year>
    <b:Month>November</b:Month>
    <b:URL>https://www.cognizant.com/whitepapers/a-path-to-efficient-data-migration-in-core-banking-codex2287.pdf</b:URL>
    <b:RefOrder>1</b:RefOrder>
  </b:Source>
  <b:Source>
    <b:Tag>Sti18</b:Tag>
    <b:SourceType>InternetSite</b:SourceType>
    <b:Guid>{34EAD354-3EDF-4A11-AE00-1EB675B71227}</b:Guid>
    <b:Title>What we can learn from TSB's IT issues</b:Title>
    <b:InternetSiteTitle>ITProPortal</b:InternetSiteTitle>
    <b:Year>2018</b:Year>
    <b:Month>October</b:Month>
    <b:Day>1</b:Day>
    <b:URL>https://www.itproportal.com/features/what-we-can-learn-from-tsbs-it-issues/</b:URL>
    <b:Author>
      <b:Author>
        <b:NameList>
          <b:Person>
            <b:Last>Stirk</b:Last>
            <b:First>Adam </b:First>
          </b:Person>
        </b:NameList>
      </b:Author>
    </b:Author>
    <b:RefOrder>3</b:RefOrder>
  </b:Source>
</b:Sources>
</file>

<file path=customXml/itemProps1.xml><?xml version="1.0" encoding="utf-8"?>
<ds:datastoreItem xmlns:ds="http://schemas.openxmlformats.org/officeDocument/2006/customXml" ds:itemID="{F370DEC8-CC1C-491C-9D18-D9911438E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1218</Words>
  <Characters>6947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wisdom edwin</dc:creator>
  <cp:keywords/>
  <dc:description/>
  <cp:lastModifiedBy>hp15</cp:lastModifiedBy>
  <cp:revision>4</cp:revision>
  <dcterms:created xsi:type="dcterms:W3CDTF">2019-02-26T22:14:00Z</dcterms:created>
  <dcterms:modified xsi:type="dcterms:W3CDTF">2019-02-27T06:56:00Z</dcterms:modified>
</cp:coreProperties>
</file>